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791BB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D75">
              <w:rPr>
                <w:rFonts w:asciiTheme="majorHAnsi" w:hAnsiTheme="majorHAnsi" w:cs="Arial"/>
                <w:b/>
                <w:sz w:val="18"/>
                <w:szCs w:val="18"/>
              </w:rPr>
              <w:t>Strukture, osobine i reaktivnost prirodnih spojeva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 w:rsidP="002662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66240">
              <w:rPr>
                <w:rFonts w:asciiTheme="majorHAnsi" w:hAnsiTheme="majorHAnsi" w:cs="Arial"/>
                <w:b/>
                <w:sz w:val="18"/>
                <w:szCs w:val="18"/>
              </w:rPr>
              <w:t>SOIRPS</w:t>
            </w:r>
            <w:bookmarkStart w:id="0" w:name="_GoBack"/>
            <w:bookmarkEnd w:id="0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827B44" w:rsidRDefault="00791BB5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 w:rsidP="00A9241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241C">
              <w:rPr>
                <w:rFonts w:asciiTheme="majorHAnsi" w:hAnsiTheme="majorHAnsi" w:cs="Arial"/>
                <w:b/>
                <w:sz w:val="18"/>
                <w:szCs w:val="18"/>
              </w:rPr>
              <w:t>75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A9241C">
              <w:rPr>
                <w:rFonts w:asciiTheme="majorHAnsi" w:hAnsiTheme="majorHAnsi"/>
                <w:b/>
                <w:sz w:val="18"/>
                <w:szCs w:val="18"/>
              </w:rPr>
              <w:t>65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 w:rsidP="00A9241C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A9241C">
              <w:rPr>
                <w:rFonts w:asciiTheme="majorHAnsi" w:hAnsiTheme="majorHAnsi"/>
                <w:b/>
                <w:sz w:val="18"/>
                <w:szCs w:val="18"/>
              </w:rPr>
              <w:t>09,40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 w:rsidP="00933D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9E0D75">
              <w:rPr>
                <w:rFonts w:asciiTheme="majorHAnsi" w:hAnsiTheme="majorHAnsi" w:cs="Arial"/>
                <w:b/>
                <w:sz w:val="18"/>
                <w:szCs w:val="18"/>
              </w:rPr>
              <w:t>Medicinska hemija</w:t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791BB5" w:rsidP="00933D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>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791BB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D75" w:rsidRPr="009E0D75">
              <w:rPr>
                <w:rFonts w:asciiTheme="majorHAnsi" w:hAnsiTheme="majorHAnsi" w:cs="Arial"/>
                <w:b/>
                <w:sz w:val="18"/>
                <w:szCs w:val="18"/>
              </w:rPr>
              <w:t>Usvajanje specifičnih znanja neophodnih za istraživački rad u oblasti primjene principa organske hemije u sintezi prirodnih organskih spojeva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0D75" w:rsidRPr="009E0D75" w:rsidRDefault="00791BB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D75" w:rsidRPr="009E0D75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će biti u stanju: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-primijeniti stečeno znanje u svrhu klasifikacije prirodnih organskih spojeva i objašnjenja njihovih fizikalnih i hemijskih osobina, kao i poređenja strukture prirodnih spojeva i njihove hemijske reaktivnosti;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- protumačiti važne procese biosinteza biološki aktivnih sekundarnih metabolita;</w:t>
            </w:r>
          </w:p>
          <w:p w:rsidR="00827B44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- objasniti najvažnije mehanizme reakcija prilikom sinteze i biosinteze organskih prirodnih spojeva;</w:t>
            </w:r>
            <w:r w:rsidR="00791BB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0D75" w:rsidRPr="009E0D75" w:rsidRDefault="00791BB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9E0D75" w:rsidRPr="009E0D75">
              <w:rPr>
                <w:rFonts w:asciiTheme="majorHAnsi" w:hAnsiTheme="majorHAnsi" w:cs="Arial"/>
                <w:b/>
                <w:sz w:val="18"/>
                <w:szCs w:val="18"/>
              </w:rPr>
              <w:t>Strukturne karakteristike i biološka svojstva ugljikohidrata- sintetske reakcije.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2. Sinteza i biosinteza oligo- i polinukleotida.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3. Kiselo-bazna svojstva i stereohemija aminokiselina- sinteze i biosinteze aminokiselina. Sinteza peptida na čvrstoj fazi. Zaštitne skupine u peptidnoj hemiji. 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4. Terpenoidi, biogeneza. Struktura i stereohemija terpenoida. Sintetske reakcije.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5.Biosinteza i hemijske sinteze lipidnih molekula. 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6. Polifenoli, vrste, izolacija i određivanje strukture. Laboratorijska sinteza.</w:t>
            </w:r>
          </w:p>
          <w:p w:rsidR="00827B44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7. Alkaloidi, strukturne karakteristike, izolacija i određivanje strukture, laboratorijska sinteza alkaloida.</w:t>
            </w:r>
            <w:r w:rsidR="00791BB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0D75" w:rsidRPr="009E0D75" w:rsidRDefault="00791BB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D75" w:rsidRPr="009E0D75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</w:p>
          <w:p w:rsidR="00827B44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-seminarski rad</w:t>
            </w:r>
            <w:r w:rsidR="00791BB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0D75" w:rsidRPr="009E0D75" w:rsidRDefault="00791BB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D75" w:rsidRPr="009E0D75">
              <w:rPr>
                <w:rFonts w:asciiTheme="majorHAnsi" w:hAnsiTheme="majorHAnsi" w:cs="Arial"/>
                <w:b/>
                <w:sz w:val="18"/>
                <w:szCs w:val="18"/>
              </w:rPr>
              <w:t>Pismena provjera znanja: Test 1, Test 2 i Završni  ispit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Test I obuhvata provjeru znanja iz predviđenih metodskih jedinica te se održava nakon 7. sedmice predavanja i nosi 20 bodova.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Test II  obuhvata provjeru znanja iz predviđenih metodskih jedinica te se održava nakon 14. sedmice predavanja i nosi 20 bodova.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Završni ispit se boduje sa 40 bodova, minimalan broj bodova na završnom ispitu je 20.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Broj ostvarenih bodova-Brojna ocjena-Opisna ocjena-Slovna ocjena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5 (pet) ne zadovoljava F 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55-64    6 (šest) dovoljan E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65-74    7 (sedam) dobar D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75-84    8 (osam) vrlodobar C 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85-94    9 (devet) izvanredan B 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95-100 10 (deset) odličan A</w:t>
            </w:r>
          </w:p>
          <w:p w:rsidR="00827B44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  <w:r w:rsidR="00791BB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0D75" w:rsidRPr="009E0D75" w:rsidRDefault="00791BB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D75" w:rsidRPr="009E0D75">
              <w:rPr>
                <w:rFonts w:asciiTheme="majorHAnsi" w:hAnsiTheme="majorHAnsi" w:cs="Arial"/>
                <w:b/>
                <w:sz w:val="18"/>
                <w:szCs w:val="18"/>
              </w:rPr>
              <w:t>Ocjena na ispitu se utvrđuje prema sljedećoj skali: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Način bodovanja aktivnosti studenata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Maksimalan broj bodova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    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</w:t>
            </w: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20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   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</w:t>
            </w: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 20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rad/projekat           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15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 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</w:t>
            </w: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40</w:t>
            </w:r>
          </w:p>
          <w:p w:rsidR="00827B44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Ukupno                                          </w:t>
            </w:r>
            <w:r w:rsidR="00933D2F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9E0D75">
              <w:rPr>
                <w:rFonts w:asciiTheme="majorHAnsi" w:hAnsiTheme="majorHAnsi" w:cs="Arial"/>
                <w:b/>
                <w:sz w:val="18"/>
                <w:szCs w:val="18"/>
              </w:rPr>
              <w:t>100</w:t>
            </w:r>
            <w:r w:rsidR="00791BB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0D75" w:rsidRPr="009E0D75" w:rsidRDefault="00791BB5" w:rsidP="009E0D7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D75" w:rsidRPr="009E0D75">
              <w:rPr>
                <w:rFonts w:asciiTheme="majorHAnsi" w:hAnsiTheme="majorHAnsi"/>
                <w:b/>
                <w:sz w:val="18"/>
                <w:szCs w:val="18"/>
              </w:rPr>
              <w:t>1.Dewick, P.M. (2002) Medicinal Natural Products – A BiosyntheticA</w:t>
            </w:r>
          </w:p>
          <w:p w:rsidR="009E0D75" w:rsidRPr="009E0D75" w:rsidRDefault="009E0D75" w:rsidP="009E0D7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/>
                <w:b/>
                <w:sz w:val="18"/>
                <w:szCs w:val="18"/>
              </w:rPr>
              <w:t>2.J. Mann, R.S. Davidson, J.B. Hobbs, J.B. Harborne: Natural Products, Their Chemistry and biological signi</w:t>
            </w:r>
          </w:p>
          <w:p w:rsidR="00827B44" w:rsidRDefault="009E0D75" w:rsidP="009E0D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E0D75">
              <w:rPr>
                <w:rFonts w:asciiTheme="majorHAnsi" w:hAnsiTheme="majorHAnsi"/>
                <w:b/>
                <w:sz w:val="18"/>
                <w:szCs w:val="18"/>
              </w:rPr>
              <w:t>3. Tringali, C. (2001) Bioactive Compounds from Natural Sources</w:t>
            </w:r>
            <w:r w:rsidR="00791BB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791BB5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791BB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791BB5" w:rsidP="005743B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743BD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5743B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791BB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91BB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91BB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91BB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507B72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D65091" w:rsidRPr="00507B72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507B72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4E" w:rsidRDefault="003B664E">
      <w:pPr>
        <w:spacing w:line="240" w:lineRule="auto"/>
      </w:pPr>
      <w:r>
        <w:separator/>
      </w:r>
    </w:p>
  </w:endnote>
  <w:endnote w:type="continuationSeparator" w:id="0">
    <w:p w:rsidR="003B664E" w:rsidRDefault="003B66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791BB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743BD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791BB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791BB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743B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791BB5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791BB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791BB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743B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791BB5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4E" w:rsidRDefault="003B664E">
      <w:pPr>
        <w:spacing w:after="0"/>
      </w:pPr>
      <w:r>
        <w:separator/>
      </w:r>
    </w:p>
  </w:footnote>
  <w:footnote w:type="continuationSeparator" w:id="0">
    <w:p w:rsidR="003B664E" w:rsidRDefault="003B664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E51BD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66240"/>
    <w:rsid w:val="00275EF2"/>
    <w:rsid w:val="00276F0F"/>
    <w:rsid w:val="0029297C"/>
    <w:rsid w:val="00293BC4"/>
    <w:rsid w:val="002A47C7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0A9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664E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A4C0A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7B72"/>
    <w:rsid w:val="00513852"/>
    <w:rsid w:val="00513EFB"/>
    <w:rsid w:val="0051494F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743B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505D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1BB5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3D2F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945"/>
    <w:rsid w:val="009A44AC"/>
    <w:rsid w:val="009A5035"/>
    <w:rsid w:val="009C2896"/>
    <w:rsid w:val="009C43EF"/>
    <w:rsid w:val="009D7779"/>
    <w:rsid w:val="009D7C2B"/>
    <w:rsid w:val="009E0D75"/>
    <w:rsid w:val="009E2A80"/>
    <w:rsid w:val="009E2DF7"/>
    <w:rsid w:val="009E3DB1"/>
    <w:rsid w:val="009E56CB"/>
    <w:rsid w:val="009E69B9"/>
    <w:rsid w:val="009E79AC"/>
    <w:rsid w:val="009F0A85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241C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3FE4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5F85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15378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D4108-3894-4BC5-9DA4-5A1DFC304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5</cp:revision>
  <cp:lastPrinted>2024-03-19T08:24:00Z</cp:lastPrinted>
  <dcterms:created xsi:type="dcterms:W3CDTF">2026-04-25T05:19:00Z</dcterms:created>
  <dcterms:modified xsi:type="dcterms:W3CDTF">2026-04-27T09:37:00Z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